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75" w:hRule="atLeast"/>
        </w:trPr>
        <w:tc>
          <w:tcPr>
            <w:tcW w:w="14450" w:type="dxa"/>
            <w:gridSpan w:val="50"/>
            <w:shd w:val="clear" w:color="FFFFFF" w:fill="auto"/>
            <w:textDirection w:val="lrTb"/>
            <w:vAlign w:val="bottom"/>
          </w:tcPr>
          <w:p>
            <w:pPr>
              <w:jc w:val="center"/>
            </w:pPr>
            <w:r>
              <w:rPr>
                <w:rFonts w:ascii="Times New Roman" w:hAnsi="Times New Roman"/>
                <w:b/>
                <w:sz w:val="28"/>
                <w:szCs w:val="28"/>
              </w:rPr>
              <w:t>Техническое задание по Лоту №1</w:t>
            </w:r>
          </w:p>
        </w:tc>
      </w:tr>
      <w:tr>
        <w:trPr>
          <w:trHeight w:val="375" w:hRule="atLeast"/>
        </w:trPr>
        <w:tc>
          <w:tcPr>
            <w:tcW w:w="14450" w:type="dxa"/>
            <w:gridSpan w:val="50"/>
            <w:shd w:val="clear" w:color="FFFFFF" w:fill="auto"/>
            <w:textDirection w:val="lrTb"/>
            <w:vAlign w:val="bottom"/>
          </w:tcPr>
          <w:p>
            <w:pPr>
              <w:jc w:val="center"/>
            </w:pPr>
            <w:r>
              <w:rPr>
                <w:rFonts w:ascii="Times New Roman" w:hAnsi="Times New Roman"/>
                <w:b/>
                <w:sz w:val="28"/>
                <w:szCs w:val="28"/>
              </w:rPr>
              <w:t>По запросу предложений в электронной форме № 224 117</w:t>
            </w:r>
          </w:p>
        </w:tc>
      </w:tr>
      <w:tr>
        <w:trPr>
          <w:trHeight w:val="375" w:hRule="atLeast"/>
        </w:trPr>
        <w:tc>
          <w:tcPr>
            <w:tcW w:w="14450" w:type="dxa"/>
            <w:gridSpan w:val="50"/>
            <w:shd w:val="clear" w:color="FFFFFF" w:fill="auto"/>
            <w:textDirection w:val="lrTb"/>
            <w:vAlign w:val="bottom"/>
          </w:tcPr>
          <w:p>
            <w:pPr>
              <w:jc w:val="center"/>
            </w:pPr>
            <w:r>
              <w:rPr>
                <w:rFonts w:ascii="Times New Roman" w:hAnsi="Times New Roman"/>
                <w:b/>
                <w:sz w:val="28"/>
                <w:szCs w:val="28"/>
              </w:rPr>
              <w:t>Для нужд: ООО "Газпром межрегионгаз Иваново"</w:t>
            </w:r>
          </w:p>
        </w:tc>
      </w:tr>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00" w:hRule="atLeast"/>
        </w:trPr>
        <w:tc>
          <w:tcPr>
            <w:tcW w:w="578" w:type="dxa"/>
            <w:vMerge w:val="restart"/>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b/>
                <w:sz w:val="22"/>
                <w:szCs w:val="22"/>
              </w:rPr>
              <w:t>1.</w:t>
            </w:r>
          </w:p>
        </w:tc>
        <w:tc>
          <w:tcPr>
            <w:tcW w:w="8381" w:type="dxa"/>
            <w:vMerge w:val="restart"/>
            <w:gridSpan w:val="29"/>
            <w:shd w:val="clear" w:color="FFFFFF" w:fill="auto"/>
            <w:textDirection w:val="lrTb"/>
            <w:vAlign w:val="center"/>
            <w:tcBorders>
              <w:top w:val="single" w:sz="5" w:space="0" w:color="auto"/>
              <w:left w:val="single" w:sz="5" w:space="0" w:color="auto"/>
              <w:bottom w:val="single" w:sz="5" w:space="0" w:color="auto"/>
            </w:tcBorders>
          </w:tcPr>
          <w:p>
            <w:pPr>
              <w:jc w:val="left"/>
            </w:pPr>
            <w:r>
              <w:rPr>
                <w:rFonts w:ascii="Times New Roman" w:hAnsi="Times New Roman"/>
                <w:b/>
                <w:sz w:val="22"/>
                <w:szCs w:val="22"/>
              </w:rPr>
              <w:t>Предмет закупки.</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b/>
                <w:sz w:val="22"/>
                <w:szCs w:val="22"/>
              </w:rPr>
              <w:t>ОКДП</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b/>
                <w:sz w:val="22"/>
                <w:szCs w:val="22"/>
              </w:rPr>
              <w:t>ОКВЭД</w:t>
            </w:r>
          </w:p>
        </w:tc>
      </w:tr>
      <w:tr>
        <w:trPr>
          <w:trHeight w:val="300" w:hRule="atLeast"/>
        </w:trPr>
        <w:tc>
          <w:tcPr>
            <w:tcW w:w="578" w:type="dxa"/>
            <w:vMerge w:val="continue"/>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b/>
                <w:sz w:val="22"/>
                <w:szCs w:val="22"/>
              </w:rPr>
              <w:t>1.</w:t>
            </w:r>
          </w:p>
        </w:tc>
        <w:tc>
          <w:tcPr>
            <w:tcW w:w="8381" w:type="dxa"/>
            <w:vMerge w:val="continue"/>
            <w:gridSpan w:val="29"/>
            <w:shd w:val="clear" w:color="FFFFFF" w:fill="auto"/>
            <w:textDirection w:val="lrTb"/>
            <w:vAlign w:val="center"/>
            <w:tcBorders>
              <w:top w:val="single" w:sz="5" w:space="0" w:color="auto"/>
              <w:left w:val="single" w:sz="5" w:space="0" w:color="auto"/>
              <w:bottom w:val="single" w:sz="5" w:space="0" w:color="auto"/>
            </w:tcBorders>
          </w:tcPr>
          <w:p>
            <w:pPr>
              <w:jc w:val="left"/>
            </w:pPr>
            <w:r>
              <w:rPr>
                <w:rFonts w:ascii="Times New Roman" w:hAnsi="Times New Roman"/>
                <w:b/>
                <w:sz w:val="22"/>
                <w:szCs w:val="22"/>
              </w:rPr>
              <w:t>Предмет закупки.</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sz w:val="22"/>
                <w:szCs w:val="22"/>
              </w:rPr>
              <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sz w:val="22"/>
                <w:szCs w:val="22"/>
              </w:rPr>
              <w:t/>
            </w:r>
          </w:p>
        </w:tc>
      </w:tr>
      <w:tr>
        <w:trPr>
          <w:trHeight w:val="97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sz w:val="20"/>
                <w:szCs w:val="20"/>
              </w:rPr>
              <w:t>№</w:t>
              <w:br/>
              <w:t>
п/п</w:t>
            </w:r>
          </w:p>
        </w:tc>
        <w:tc>
          <w:tcPr>
            <w:tcW w:w="5202" w:type="dxa"/>
            <w:gridSpan w:val="18"/>
            <w:shd w:val="clear" w:color="FFFFFF" w:fill="auto"/>
            <w:textDirection w:val="lrTb"/>
            <w:vAlign w:val="center"/>
            <w:tcBorders>
              <w:top w:val="single" w:sz="5" w:space="0" w:color="auto"/>
              <w:left w:val="single" w:sz="5" w:space="0" w:color="auto"/>
            </w:tcBorders>
          </w:tcPr>
          <w:p>
            <w:pPr>
              <w:wordWrap w:val="1"/>
              <w:jc w:val="center"/>
            </w:pPr>
            <w:r>
              <w:rPr>
                <w:rFonts w:ascii="Times New Roman" w:hAnsi="Times New Roman"/>
                <w:sz w:val="20"/>
                <w:szCs w:val="20"/>
              </w:rPr>
              <w:t>Наименование предмета закупки</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sz w:val="20"/>
                <w:szCs w:val="20"/>
              </w:rPr>
              <w:t>Ед.</w:t>
              <w:br/>
              <w:t>
изм.</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Колич</w:t>
              <w:br/>
              <w:t>
ество</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Допустимость эквивалента</w:t>
            </w:r>
          </w:p>
        </w:tc>
        <w:tc>
          <w:tcPr>
            <w:tcW w:w="2890" w:type="dxa"/>
            <w:gridSpan w:val="10"/>
            <w:shd w:val="clear" w:color="FFFFFF" w:fill="auto"/>
            <w:textDirection w:val="lrTb"/>
            <w:vAlign w:val="center"/>
            <w:tcBorders>
              <w:top w:val="single" w:sz="5" w:space="0" w:color="auto"/>
              <w:left w:val="single" w:sz="5" w:space="0" w:color="auto"/>
            </w:tcBorders>
          </w:tcPr>
          <w:p>
            <w:pPr>
              <w:jc w:val="center"/>
            </w:pPr>
            <w:r>
              <w:rPr>
                <w:rFonts w:ascii="Times New Roman" w:hAnsi="Times New Roman"/>
                <w:sz w:val="20"/>
                <w:szCs w:val="20"/>
              </w:rPr>
              <w:t>Грузополучатель</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Место (адрес) поставки товара</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Аккумулятор APC SYBT5</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8,000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144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Производитель	APC by Schneider Electric</w:t>
              <w:br/>
              <w:t>
Модель	Battery Module SYBT5</w:t>
              <w:br/>
              <w:t>
Тип	Комплект батарей / батарея</w:t>
              <w:br/>
              <w:t>
Назначение	Для замены старых батарей</w:t>
              <w:br/>
              <w:t>
Дополнительная информация	Необслуживаемая герметичная свинцово-кислотная батарея с загущенным электролитом: защита от утечек</w:t>
              <w:br/>
              <w:t>
Габариты:	76.5x43x31</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Адаптер главной шины для сервера HP QMH2672 710608-B21</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3</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Системный блок Lenovo Ideacentre 510A-15ICB TWR 90HU006DRS</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Единица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5,000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Да</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1935" w:hRule="atLeast"/>
        </w:trPr>
        <w:tc>
          <w:tcPr>
            <w:tcW w:w="1445" w:type="dxa"/>
            <w:gridSpan w:val="5"/>
            <w:shd w:val="clear" w:color="FFFFFF" w:fill="auto"/>
            <w:textDirection w:val="lrTb"/>
            <w:vAlign w:val="center"/>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Значимые технические характеристики для оценки предложенных эквивалентов</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wordWrap w:val="1"/>
              <w:jc w:val="left"/>
            </w:pPr>
            <w:r>
              <w:rPr>
                <w:rFonts w:ascii="Times New Roman" w:hAnsi="Times New Roman"/>
                <w:sz w:val="20"/>
                <w:szCs w:val="20"/>
              </w:rPr>
              <w:t>Процессор не менее Intel Core® i5</w:t>
              <w:br/>
              <w:t>
Серия процессора: от 7600-9800</w:t>
              <w:br/>
              <w:t>
Частота процессора: от 2600 MHz до от 2800 MHz</w:t>
              <w:br/>
              <w:t>
Установленная ОС: от без ОС до Windows 10 pro</w:t>
              <w:br/>
              <w:t>
Видеокарта: от Intel® UHD Graphics 630 до GeForce 1050</w:t>
              <w:br/>
              <w:t>
Оперативная память: от 6 Gb до 12 gb</w:t>
              <w:br/>
              <w:t>
Емкость жесткого диска: от 800 Gb до 1200 gb</w:t>
              <w:br/>
              <w:t>
P_OPT1 Lic Комплексная система мониторинга и управления Annt   Расширенная версия с SMS от  4 лет до 6 лет</w:t>
            </w:r>
          </w:p>
        </w:tc>
      </w:tr>
      <w:tr>
        <w:trPr>
          <w:trHeight w:val="192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Процессор Intel Core® i5</w:t>
              <w:br/>
              <w:t>
Серия процессора: 8400</w:t>
              <w:br/>
              <w:t>
Частота процессора: 2800 MHz</w:t>
              <w:br/>
              <w:t>
Установленная ОС: DOS / без ОС</w:t>
              <w:br/>
              <w:t>
Видеокарта: Intel® UHD Graphics 630</w:t>
              <w:br/>
              <w:t>
Оперативная память: 8 Gb</w:t>
              <w:br/>
              <w:t>
Емкость жесткого диска: 1000 Gb</w:t>
              <w:br/>
              <w:t>
P_OPT1 Lic Комплексная система мониторинга и управления Annt  (Расширенная версия с SMS на 5 лет)</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4</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д/печати HP Q1339X</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4,000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серия 39, черный, оригинальный, ресурс 18000 стр., Совместимость с HP LaserJet 4300, размеры 38,5 x19,2 x31,2 см, вес 2,3 кг</w:t>
              <w:br/>
              <w:t>
</w:t>
              <w:br/>
              <w:t>
Оригинальный картридж</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5</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Модуль управляющий APC Symmetra LX SYMIM5</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Размеры, вес 168x41x499 мм; 2,27 кг</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6</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Жесткий диск HP: 600GB 15K SAS GPN: 601712-001</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Единица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168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Характеристики</w:t>
              <w:br/>
              <w:t>
Горячая замена	да</w:t>
              <w:br/>
              <w:t>
Интерфейс	SAS</w:t>
              <w:br/>
              <w:t>
Объем диска	600 Gb</w:t>
              <w:br/>
              <w:t>
Скорость вращения	15000 rpm</w:t>
              <w:br/>
              <w:t>
Тип диска	HDD</w:t>
              <w:br/>
              <w:t>
Форм-фактор	3.5"</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7</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Аккумулятор для источника бесперебойного питания APC RBC6</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6,000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Емкость 336, тип батареи: необслуживаемая герметичная свинцово-кислотная батарея с загущенным электролитом : защита от утечек, монтаж батарей: закрытый батарейный картридж, ожидаемый срок службы батарей 3-5 лет</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8</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Аккумулятор APC RBC18 для источника бесперебойного питания</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5,000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Тип: необслуживаемая герметичная свинцово-кислотная с загущенным электролитом. Емкость в вольт-ампер-часах 164. 2 аккумулятора 6В. Габариты: 302 x 36 x 102 мм. Вес нетто/брутто: 2,59/3.32 кг
</w:t>
              <w:br/>
              <w:t>
</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9</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Модуль памяти HP 16GB (1х16GB) Dual Rank x4 PC3L-10600 (DDR3-1333) Registered CAS-9 LP Memory Kit 627812-B21</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4,000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Частота 1333 МГц, Пропускная способность 10600, Мб/сек.</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10</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Оперативная память Patriot PSD24G8002 DIMM 4GB DDR2 800MHz </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Единица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Да</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2175" w:hRule="atLeast"/>
        </w:trPr>
        <w:tc>
          <w:tcPr>
            <w:tcW w:w="1445" w:type="dxa"/>
            <w:gridSpan w:val="5"/>
            <w:shd w:val="clear" w:color="FFFFFF" w:fill="auto"/>
            <w:textDirection w:val="lrTb"/>
            <w:vAlign w:val="center"/>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Значимые технические характеристики для оценки предложенных эквивалентов</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wordWrap w:val="1"/>
              <w:jc w:val="left"/>
            </w:pPr>
            <w:r>
              <w:rPr>
                <w:rFonts w:ascii="Times New Roman" w:hAnsi="Times New Roman"/>
                <w:sz w:val="20"/>
                <w:szCs w:val="20"/>
              </w:rPr>
              <w:t>ип памяти 	240-pin 1.8В DDR2 DIMM</w:t>
              <w:br/>
              <w:t>
Стандарт памяти	pc2-6400</w:t>
              <w:br/>
              <w:t>
Объем 	4 Гб</w:t>
              <w:br/>
              <w:t>
Частота работы 	800 МГц</w:t>
              <w:br/>
              <w:t>
Пропускная способность 	6400 Мб/с</w:t>
              <w:br/>
              <w:t>
Латентность	 CL6</w:t>
              <w:br/>
              <w:t>
Проверка и коррекция ошибок 	Отсутствует</w:t>
              <w:br/>
              <w:t>
Буферизация  	Отсутствует</w:t>
              <w:br/>
              <w:t>
Напряжение питания	1.8 В </w:t>
              <w:br/>
              <w:t>
</w:t>
            </w:r>
          </w:p>
        </w:tc>
      </w:tr>
      <w:tr>
        <w:trPr>
          <w:trHeight w:val="240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Производитель : Patriot </w:t>
              <w:br/>
              <w:t>
Тип памяти 	240-pin 1.8В DDR2 DIMM</w:t>
              <w:br/>
              <w:t>
Стандарт памяти	pc2-6400</w:t>
              <w:br/>
              <w:t>
Объем 	4 Гб</w:t>
              <w:br/>
              <w:t>
Частота работы 	800 МГц</w:t>
              <w:br/>
              <w:t>
Пропускная способность 	6400 Мб/с</w:t>
              <w:br/>
              <w:t>
Латентность	 CL6</w:t>
              <w:br/>
              <w:t>
Проверка и коррекция ошибок 	Отсутствует</w:t>
              <w:br/>
              <w:t>
Буферизация  	Отсутствует</w:t>
              <w:br/>
              <w:t>
Напряжение питания	1.8 В </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11</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Контроллер SAS/SATA Adaptec HBA 1000-8i8e</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600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Adaptec </w:t>
              <w:br/>
              <w:t>
Модель	HBA 1000-8i8e</w:t>
              <w:br/>
              <w:t>
Тип оборудования	SAS/SATA контроллер найти похожий контроллер</w:t>
              <w:br/>
              <w:t>
Возможности	Multi-LUN support, SAS expander, TLR, SATA NCQ, Hot Plug Drive, S.M.A.R.T., MPIO, Multi-Initiator for SAS, Enclosure Management SES-2, SES-3, SFF-8485, SGPIO, SFF-8489, IBPI, BMC</w:t>
              <w:br/>
              <w:t>
Комплект поставки и опции</w:t>
              <w:br/>
              <w:t>
Кабель для контроллера приобретается отдельно	SFF-8643 (mini SAS HD) подх. кабель для контроллера</w:t>
              <w:br/>
              <w:t>
Комплект поставки	Планка Low Profile комплект №1</w:t>
              <w:br/>
              <w:t>
Конфигурация</w:t>
              <w:br/>
              <w:t>
Память	16 Мб</w:t>
              <w:br/>
              <w:t>
Число поддерживаемых устройств	16 с прямым подключением или до 238 устройств с помощью SAS-экспандеров. </w:t>
              <w:br/>
              <w:t>
Интерфейс, разъемы и выходы</w:t>
              <w:br/>
              <w:t>
Внутренний порт	2x SFF-8643 (mini SAS HD), поддерживается SES2/SGPIO </w:t>
              <w:br/>
              <w:t>
Внешний порт	2x SFF-8644 </w:t>
              <w:br/>
              <w:t>
Интерфейс	PCI Express 8x rev. 3.0</w:t>
              <w:br/>
              <w:t>
Пропускная способность интерфейса	12 Гбит/сек </w:t>
              <w:br/>
              <w:t>
Охлаждение</w:t>
              <w:br/>
              <w:t>
Охлаждение	Пассивное охлаждение</w:t>
              <w:br/>
              <w:t>
Питание</w:t>
              <w:br/>
              <w:t>
Потребление энергии	12.3 Вт</w:t>
              <w:br/>
              <w:t>
Совместимость</w:t>
              <w:br/>
              <w:t>
Низкопрофильная плата	Да Хочу такое же</w:t>
              <w:br/>
              <w:t>
Поддержка ОС	Windows 10, Windows 8, Windows 7, Windows Server 2016 (только 64 bit), Windows Server 2012, Windows Server 2008, Ubuntu Linux 16, Ubuntu Linux 14, Ubuntu Linux 12, RedHat Enterprise Linux 7, RedHat Enterprise Linux 6, RedHat Enterprise Server 5, Oracle Enterprise Linux 6, SuSE Linux Enterprise Server 12, SuSE Linux Enterprise Server 11, VMware ESXi 6.0, VMware ESXi 5.0</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12</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Термоблок HP LaserJet 4515 (CB506-67902/ RM1-4579-000CN)</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Единица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Термоблок HP LaserJet 4515 (CB506-67902/ RM1-4579-000CN Термоблок в сборе для моделей HP LJ P4014/P4015/ P4515)</w:t>
              <w:br/>
              <w:t>
</w:t>
              <w:br/>
              <w:t>
</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13</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Жесткий диск HP 300GB (507129-003)</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Жесткий диск HP 300GB 6G SAS 10K 2.5-inch DP ENT HDD (507129-003)</w:t>
              <w:br/>
              <w:t>
</w:t>
              <w:br/>
              <w:t>
</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14</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Память оперативная 4Gb PC3-10600 1333MHz DDR3L DIMM ECC Kingston CL9 KVR13LE9S8/4</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Да</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1455" w:hRule="atLeast"/>
        </w:trPr>
        <w:tc>
          <w:tcPr>
            <w:tcW w:w="1445" w:type="dxa"/>
            <w:gridSpan w:val="5"/>
            <w:shd w:val="clear" w:color="FFFFFF" w:fill="auto"/>
            <w:textDirection w:val="lrTb"/>
            <w:vAlign w:val="center"/>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Значимые технические характеристики для оценки предложенных эквивалентов</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wordWrap w:val="1"/>
              <w:jc w:val="left"/>
            </w:pPr>
            <w:r>
              <w:rPr>
                <w:rFonts w:ascii="Times New Roman" w:hAnsi="Times New Roman"/>
                <w:sz w:val="20"/>
                <w:szCs w:val="20"/>
              </w:rPr>
              <w:t>Память оперативная 4Gb PC3-10600 1333MHz DDR3L DIMM ECC  </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Память оперативная 4Gb PC3-10600 1333MHz DDR3L DIMM ECC Kingston CL9 KVR13LE9S8/4</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15</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Модуль 4G HP lt4132 LTE/HSPA+ 4G WWAN(1HC91AA)</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16</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Плата форматтера HP LJ M2727nf/nfs CC370-60001</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17</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Epson SC-P9000 C13T824200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картридж</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18</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Epson SC-P9000 C13T824100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картридж</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19</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Epson SC-P9000 C13T824300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картридж</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20</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Epson SC-P9000 C13T824400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картридж</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21</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Epson SC-P9000 C13T824500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картридж</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22</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Epson SC-P9000 C13T824600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картридж</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23</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Epson SC-P9000 C13T824700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картридж</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24</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Epson SC-P9000 C13T824800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картридж</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25</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Epson SC-P9000 C13T824900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картридж</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26</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Epson SC-P9000 C13T824A00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картридж</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27</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для Epson SC-P9000 C13T824B00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картридж</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28</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Плата форматтера HP LJ M1522nf (CC368-60001)</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29</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Чернила для печати Epson C13T67324A</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4,000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Для L800 (cyan) 70мл.</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30</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Чернила для печати Epson C13T67344A</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4,000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Для L800 (yellow) 70мл.</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31</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Чернила для печати Epson C13T67334A</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4,000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для L800 (magenta) 70 мл</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32</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Чернила для печати Epson C13T67314A</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4,000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для L800 (black) 70 мл</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33</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Чернила для печати Epson C13T67354A</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4,000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для L800 (light cyan) 70 мл</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34</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Чернила для печати Epson C13T67364A</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4,000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для L800 (light magenta) 70 мл</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35</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Чернильница для печати Canon CLI-36 Color</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3,000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картридж</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36</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Чернильница для печати Canon PGI-35 Black</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3,000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картридж</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37</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Шнур коммутационный Patch Cord UTP Neomax NM13001010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Категория 5e. Материал оболочки ПВХ 5,5 ± 0,2 мм. Левый коннектор RJ-45. Правый коннектор RJ-45. Длина 1 м. Проводник 7 медных жил Ø0,20 мм, 24 AWG. Диаметр проводника в изоляции 0.98 ± 0.05 мм. Количество пар 4. Цвет витых пар синий-белый/синий, оранжевый-белый/оранжевый, зеленый-белый/зеленый, кор</w:t>
              <w:br/>
              <w:t>
</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38</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Кабель Patch Cord UTP кат. 5e 1 м красный NICOMAX NMC-PC4UD55B-030-RD</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20,000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39</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Картридж HP CF230A</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8,000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Нет</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г.Иваново, ул.Жиделева, д.17-А</w:t>
            </w:r>
          </w:p>
        </w:tc>
      </w:tr>
      <w:tr>
        <w:trPr>
          <w:trHeight w:val="975"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Оригинальный картридж</w:t>
            </w:r>
          </w:p>
        </w:tc>
      </w:tr>
      <w:tr>
        <w:trPr>
          <w:trHeight w:val="300" w:hRule="atLeast"/>
        </w:trPr>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r>
      <w:tr>
        <w:trPr>
          <w:trHeight w:val="300" w:hRule="atLeast"/>
        </w:trPr>
        <w:tc>
          <w:tcPr>
            <w:tcW w:w="578" w:type="dxa"/>
            <w:gridSpan w:val="2"/>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b/>
                <w:sz w:val="22"/>
                <w:szCs w:val="22"/>
              </w:rPr>
              <w:t>2.</w:t>
            </w:r>
          </w:p>
        </w:tc>
        <w:tc>
          <w:tcPr>
            <w:tcW w:w="13872" w:type="dxa"/>
            <w:gridSpan w:val="48"/>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b/>
                <w:sz w:val="22"/>
                <w:szCs w:val="22"/>
              </w:rPr>
              <w:t>Условия поставки товаров</w:t>
            </w:r>
          </w:p>
        </w:tc>
      </w:tr>
      <w:tr>
        <w:trPr>
          <w:trHeight w:val="300" w:hRule="atLeast"/>
        </w:trPr>
        <w:tc>
          <w:tcPr>
            <w:tcW w:w="4335" w:type="dxa"/>
            <w:gridSpan w:val="15"/>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2"/>
                <w:szCs w:val="22"/>
              </w:rPr>
              <w:t>Грузополучатель</w:t>
            </w:r>
          </w:p>
        </w:tc>
        <w:tc>
          <w:tcPr>
            <w:tcW w:w="10115" w:type="dxa"/>
            <w:gridSpan w:val="35"/>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sz w:val="22"/>
                <w:szCs w:val="22"/>
              </w:rPr>
              <w:t>ООО "Газпром межрегионгаз Иваново"</w:t>
            </w:r>
          </w:p>
        </w:tc>
      </w:tr>
      <w:tr>
        <w:trPr>
          <w:trHeight w:val="300" w:hRule="atLeast"/>
        </w:trPr>
        <w:tc>
          <w:tcPr>
            <w:tcW w:w="4335" w:type="dxa"/>
            <w:gridSpan w:val="15"/>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2"/>
                <w:szCs w:val="22"/>
              </w:rPr>
              <w:t>Место (адрес) поставки товаров</w:t>
            </w:r>
          </w:p>
        </w:tc>
        <w:tc>
          <w:tcPr>
            <w:tcW w:w="10115" w:type="dxa"/>
            <w:gridSpan w:val="35"/>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2"/>
                <w:szCs w:val="22"/>
              </w:rPr>
              <w:t>153002, г.Иваново, ул.Жиделева, д.17-А</w:t>
            </w:r>
          </w:p>
        </w:tc>
      </w:tr>
      <w:tr>
        <w:trPr>
          <w:trHeight w:val="300" w:hRule="atLeast"/>
        </w:trPr>
        <w:tc>
          <w:tcPr>
            <w:tcW w:w="4335" w:type="dxa"/>
            <w:gridSpan w:val="15"/>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2"/>
                <w:szCs w:val="22"/>
              </w:rPr>
              <w:t>Срок (период) поставки товаров</w:t>
            </w:r>
          </w:p>
        </w:tc>
        <w:tc>
          <w:tcPr>
            <w:tcW w:w="10115" w:type="dxa"/>
            <w:gridSpan w:val="35"/>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2"/>
                <w:szCs w:val="22"/>
              </w:rPr>
              <w:t>От 3 до 4 календарных дней с даты заключения договора</w:t>
            </w:r>
          </w:p>
        </w:tc>
      </w:tr>
      <w:tr>
        <w:trPr>
          <w:trHeight w:val="300" w:hRule="atLeast"/>
        </w:trPr>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r>
      <w:tr>
        <w:trPr>
          <w:trHeight w:val="300" w:hRule="atLeast"/>
        </w:trPr>
        <w:tc>
          <w:tcPr>
            <w:tcW w:w="578" w:type="dxa"/>
            <w:gridSpan w:val="2"/>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b/>
                <w:sz w:val="22"/>
                <w:szCs w:val="22"/>
              </w:rPr>
              <w:t>3.</w:t>
            </w:r>
          </w:p>
        </w:tc>
        <w:tc>
          <w:tcPr>
            <w:tcW w:w="13872" w:type="dxa"/>
            <w:gridSpan w:val="48"/>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b/>
                <w:sz w:val="22"/>
                <w:szCs w:val="22"/>
              </w:rPr>
              <w:t>Условия проведения закупочной процедуры.</w:t>
            </w:r>
          </w:p>
        </w:tc>
      </w:tr>
      <w:tr>
        <w:trPr>
          <w:trHeight w:val="840" w:hRule="atLeast"/>
        </w:trPr>
        <w:tc>
          <w:tcPr>
            <w:tcW w:w="4624" w:type="dxa"/>
            <w:gridSpan w:val="16"/>
            <w:shd w:val="clear" w:color="FFFFFF" w:fill="auto"/>
            <w:textDirection w:val="lrTb"/>
            <w:vAlign w:val="center"/>
            <w:tcBorders>
              <w:top w:val="single" w:sz="5" w:space="0" w:color="auto"/>
              <w:left w:val="single" w:sz="5" w:space="0" w:color="auto"/>
            </w:tcBorders>
          </w:tcPr>
          <w:p>
            <w:pPr>
              <w:wordWrap w:val="1"/>
              <w:jc w:val="left"/>
            </w:pPr>
            <w:r>
              <w:rPr>
                <w:rFonts w:ascii="Times New Roman" w:hAnsi="Times New Roman"/>
                <w:sz w:val="22"/>
                <w:szCs w:val="22"/>
              </w:rPr>
              <w:t>Начальная (максимальная)  цена предмета закупки для участников, не освобожденных от уплаты НДС (с НДС), рублей</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1 598 804,96</w:t>
            </w:r>
          </w:p>
        </w:tc>
        <w:tc>
          <w:tcPr>
            <w:tcW w:w="2312" w:type="dxa"/>
            <w:vMerge w:val="restart"/>
            <w:gridSpan w:val="8"/>
            <w:shd w:val="clear" w:color="FFFFFF" w:fill="auto"/>
            <w:textDirection w:val="lrTb"/>
            <w:vAlign w:val="center"/>
            <w:tcBorders>
              <w:top w:val="single" w:sz="5" w:space="0" w:color="auto"/>
            </w:tcBorders>
          </w:tcPr>
          <w:p>
            <w:pPr>
              <w:jc w:val="center"/>
            </w:pPr>
            <w:r>
              <w:rPr>
                <w:rFonts w:ascii="Times New Roman" w:hAnsi="Times New Roman"/>
                <w:sz w:val="22"/>
                <w:szCs w:val="22"/>
              </w:rPr>
              <w:t>Способ закупки</w:t>
            </w:r>
          </w:p>
        </w:tc>
        <w:tc>
          <w:tcPr>
            <w:tcW w:w="4913" w:type="dxa"/>
            <w:vMerge w:val="restart"/>
            <w:gridSpan w:val="17"/>
            <w:shd w:val="clear" w:color="FFFFFF" w:fill="auto"/>
            <w:textDirection w:val="lrTb"/>
            <w:vAlign w:val="center"/>
            <w:tcBorders>
              <w:top w:val="single" w:sz="5" w:space="0" w:color="auto"/>
              <w:left w:val="single" w:sz="5" w:space="0" w:color="auto"/>
            </w:tcBorders>
          </w:tcPr>
          <w:p>
            <w:pPr>
              <w:wordWrap w:val="1"/>
              <w:jc w:val="center"/>
            </w:pPr>
            <w:r>
              <w:rPr>
                <w:rFonts w:ascii="Times New Roman" w:hAnsi="Times New Roman"/>
                <w:sz w:val="22"/>
                <w:szCs w:val="22"/>
              </w:rPr>
              <w:t>Запрос предложений в электронной форме</w:t>
            </w:r>
          </w:p>
        </w:tc>
      </w:tr>
      <w:tr>
        <w:trPr>
          <w:trHeight w:val="300" w:hRule="atLeast"/>
        </w:trPr>
        <w:tc>
          <w:tcPr>
            <w:tcW w:w="4624" w:type="dxa"/>
            <w:gridSpan w:val="16"/>
            <w:shd w:val="clear" w:color="FFFFFF" w:fill="auto"/>
            <w:textDirection w:val="lrTb"/>
            <w:vAlign w:val="center"/>
            <w:tcBorders>
              <w:top w:val="single" w:sz="5" w:space="0" w:color="auto"/>
              <w:left w:val="single" w:sz="5" w:space="0" w:color="auto"/>
            </w:tcBorders>
          </w:tcPr>
          <w:p>
            <w:pPr>
              <w:wordWrap w:val="1"/>
              <w:jc w:val="left"/>
            </w:pPr>
            <w:r>
              <w:rPr>
                <w:rFonts w:ascii="Times New Roman" w:hAnsi="Times New Roman"/>
                <w:sz w:val="22"/>
                <w:szCs w:val="22"/>
              </w:rPr>
              <w:t>В том числе НДС, рублей</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266 467,49</w:t>
            </w:r>
          </w:p>
        </w:tc>
        <w:tc>
          <w:tcPr>
            <w:tcW w:w="2312" w:type="dxa"/>
            <w:vMerge w:val="continue"/>
            <w:gridSpan w:val="8"/>
            <w:shd w:val="clear" w:color="FFFFFF" w:fill="auto"/>
            <w:textDirection w:val="lrTb"/>
            <w:vAlign w:val="center"/>
            <w:tcBorders>
              <w:top w:val="single" w:sz="5" w:space="0" w:color="auto"/>
            </w:tcBorders>
          </w:tcPr>
          <w:p>
            <w:pPr>
              <w:jc w:val="center"/>
            </w:pPr>
            <w:r>
              <w:rPr>
                <w:rFonts w:ascii="Times New Roman" w:hAnsi="Times New Roman"/>
                <w:sz w:val="22"/>
                <w:szCs w:val="22"/>
              </w:rPr>
              <w:t>Способ закупки</w:t>
            </w:r>
          </w:p>
        </w:tc>
        <w:tc>
          <w:tcPr>
            <w:tcW w:w="4913" w:type="dxa"/>
            <w:vMerge w:val="continue"/>
            <w:gridSpan w:val="17"/>
            <w:shd w:val="clear" w:color="FFFFFF" w:fill="auto"/>
            <w:textDirection w:val="lrTb"/>
            <w:vAlign w:val="center"/>
            <w:tcBorders>
              <w:top w:val="single" w:sz="5" w:space="0" w:color="auto"/>
              <w:left w:val="single" w:sz="5" w:space="0" w:color="auto"/>
            </w:tcBorders>
          </w:tcPr>
          <w:p>
            <w:pPr>
              <w:wordWrap w:val="1"/>
              <w:jc w:val="center"/>
            </w:pPr>
            <w:r>
              <w:rPr>
                <w:rFonts w:ascii="Times New Roman" w:hAnsi="Times New Roman"/>
                <w:sz w:val="22"/>
                <w:szCs w:val="22"/>
              </w:rPr>
              <w:t>Запрос предложений в электронной форме</w:t>
            </w:r>
          </w:p>
        </w:tc>
      </w:tr>
      <w:tr>
        <w:trPr>
          <w:trHeight w:val="1380" w:hRule="atLeast"/>
        </w:trPr>
        <w:tc>
          <w:tcPr>
            <w:tcW w:w="4624" w:type="dxa"/>
            <w:gridSpan w:val="16"/>
            <w:shd w:val="clear" w:color="FFFFFF" w:fill="auto"/>
            <w:textDirection w:val="lrTb"/>
            <w:vAlign w:val="center"/>
            <w:tcBorders>
              <w:top w:val="single" w:sz="5" w:space="0" w:color="auto"/>
              <w:left w:val="single" w:sz="5" w:space="0" w:color="auto"/>
            </w:tcBorders>
          </w:tcPr>
          <w:p>
            <w:pPr>
              <w:wordWrap w:val="1"/>
              <w:jc w:val="left"/>
            </w:pPr>
            <w:r>
              <w:rPr>
                <w:rFonts w:ascii="Times New Roman" w:hAnsi="Times New Roman"/>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 рублей</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1 332 337,47</w:t>
            </w:r>
          </w:p>
        </w:tc>
        <w:tc>
          <w:tcPr>
            <w:tcW w:w="2312" w:type="dxa"/>
            <w:vMerge w:val="continue"/>
            <w:gridSpan w:val="8"/>
            <w:shd w:val="clear" w:color="FFFFFF" w:fill="auto"/>
            <w:textDirection w:val="lrTb"/>
            <w:vAlign w:val="center"/>
            <w:tcBorders>
              <w:top w:val="single" w:sz="5" w:space="0" w:color="auto"/>
            </w:tcBorders>
          </w:tcPr>
          <w:p>
            <w:pPr>
              <w:jc w:val="center"/>
            </w:pPr>
            <w:r>
              <w:rPr>
                <w:rFonts w:ascii="Times New Roman" w:hAnsi="Times New Roman"/>
                <w:sz w:val="22"/>
                <w:szCs w:val="22"/>
              </w:rPr>
              <w:t>Способ закупки</w:t>
            </w:r>
          </w:p>
        </w:tc>
        <w:tc>
          <w:tcPr>
            <w:tcW w:w="4913" w:type="dxa"/>
            <w:vMerge w:val="continue"/>
            <w:gridSpan w:val="17"/>
            <w:shd w:val="clear" w:color="FFFFFF" w:fill="auto"/>
            <w:textDirection w:val="lrTb"/>
            <w:vAlign w:val="center"/>
            <w:tcBorders>
              <w:top w:val="single" w:sz="5" w:space="0" w:color="auto"/>
              <w:left w:val="single" w:sz="5" w:space="0" w:color="auto"/>
            </w:tcBorders>
          </w:tcPr>
          <w:p>
            <w:pPr>
              <w:wordWrap w:val="1"/>
              <w:jc w:val="center"/>
            </w:pPr>
            <w:r>
              <w:rPr>
                <w:rFonts w:ascii="Times New Roman" w:hAnsi="Times New Roman"/>
                <w:sz w:val="22"/>
                <w:szCs w:val="22"/>
              </w:rPr>
              <w:t>Запрос предложений в электронной форме</w:t>
            </w:r>
          </w:p>
        </w:tc>
      </w:tr>
      <w:tr>
        <w:trPr>
          <w:trHeight w:val="300" w:hRule="atLeast"/>
        </w:trPr>
        <w:tc>
          <w:tcPr>
            <w:tcW w:w="6647" w:type="dxa"/>
            <w:gridSpan w:val="2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b/>
                <w:sz w:val="22"/>
                <w:szCs w:val="22"/>
              </w:rPr>
              <w:t>Обязательное требование к условиям оплаты товара </w:t>
            </w:r>
          </w:p>
        </w:tc>
        <w:tc>
          <w:tcPr>
            <w:tcW w:w="7803" w:type="dxa"/>
            <w:gridSpan w:val="27"/>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2"/>
                <w:szCs w:val="22"/>
              </w:rPr>
              <w:t>оплата в течение 30 календарных дней после поставки</w:t>
            </w:r>
          </w:p>
        </w:tc>
      </w:tr>
    </w:tbl>
    <w:sectPr>
      <w:pgSz w:w="16839" w:h="11907" w:orient="landscape"/>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